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7AABEF90" w:rsidR="00637C76" w:rsidRDefault="00CD451E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9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98CCA" w14:textId="77777777" w:rsidR="002D76E2" w:rsidRDefault="002D76E2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7E433B47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C135AD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976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29">
        <w:rPr>
          <w:rFonts w:ascii="Times New Roman" w:hAnsi="Times New Roman" w:cs="Times New Roman"/>
          <w:sz w:val="28"/>
          <w:szCs w:val="28"/>
        </w:rPr>
        <w:t>Commissioner Peter Allison,</w:t>
      </w:r>
      <w:r w:rsidR="007D492F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>,</w:t>
      </w:r>
      <w:r w:rsidR="00D01DCB">
        <w:rPr>
          <w:rFonts w:ascii="Times New Roman" w:hAnsi="Times New Roman" w:cs="Times New Roman"/>
          <w:sz w:val="28"/>
          <w:szCs w:val="28"/>
        </w:rPr>
        <w:t xml:space="preserve"> FF Dayne D</w:t>
      </w:r>
      <w:r w:rsidR="007D492F">
        <w:rPr>
          <w:rFonts w:ascii="Times New Roman" w:hAnsi="Times New Roman" w:cs="Times New Roman"/>
          <w:sz w:val="28"/>
          <w:szCs w:val="28"/>
        </w:rPr>
        <w:t>e</w:t>
      </w:r>
      <w:r w:rsidR="00D01DCB">
        <w:rPr>
          <w:rFonts w:ascii="Times New Roman" w:hAnsi="Times New Roman" w:cs="Times New Roman"/>
          <w:sz w:val="28"/>
          <w:szCs w:val="28"/>
        </w:rPr>
        <w:t>vine</w:t>
      </w:r>
      <w:r w:rsidR="00E757CF">
        <w:rPr>
          <w:rFonts w:ascii="Times New Roman" w:hAnsi="Times New Roman" w:cs="Times New Roman"/>
          <w:sz w:val="28"/>
          <w:szCs w:val="28"/>
        </w:rPr>
        <w:t xml:space="preserve"> 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Secretary Shandrow</w:t>
      </w:r>
      <w:r w:rsidR="005F0129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BEBCC" w14:textId="12F9161D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opened the meeting with the flag salute at 6:</w:t>
      </w:r>
      <w:r w:rsidR="00D01D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5A811519" w14:textId="77777777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76F6E659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D01DCB">
        <w:rPr>
          <w:rFonts w:ascii="Times New Roman" w:hAnsi="Times New Roman" w:cs="Times New Roman"/>
          <w:sz w:val="28"/>
          <w:szCs w:val="28"/>
        </w:rPr>
        <w:t>September 25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5F486F9C" w:rsidR="00507313" w:rsidRPr="00DF6701" w:rsidRDefault="004F3C24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34EB1D47" w14:textId="5CE0EA8B" w:rsidR="009A7C1B" w:rsidRPr="00881055" w:rsidRDefault="006D30B1" w:rsidP="00881055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Disciplinary Actions Policy – The revised Disciplinary Policy was reviewed and approved.</w:t>
      </w:r>
    </w:p>
    <w:p w14:paraId="375192FF" w14:textId="409EDB6A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44768167" w14:textId="145EE3A9" w:rsidR="00BE1DB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DCB">
        <w:rPr>
          <w:rFonts w:ascii="Times New Roman" w:hAnsi="Times New Roman" w:cs="Times New Roman"/>
          <w:bCs/>
          <w:sz w:val="28"/>
          <w:szCs w:val="28"/>
        </w:rPr>
        <w:t>Reso</w:t>
      </w:r>
      <w:r w:rsidR="007D492F">
        <w:rPr>
          <w:rFonts w:ascii="Times New Roman" w:hAnsi="Times New Roman" w:cs="Times New Roman"/>
          <w:bCs/>
          <w:sz w:val="28"/>
          <w:szCs w:val="28"/>
        </w:rPr>
        <w:t>l</w:t>
      </w:r>
      <w:r w:rsidR="00D01DCB">
        <w:rPr>
          <w:rFonts w:ascii="Times New Roman" w:hAnsi="Times New Roman" w:cs="Times New Roman"/>
          <w:bCs/>
          <w:sz w:val="28"/>
          <w:szCs w:val="28"/>
        </w:rPr>
        <w:t>ution 2023-394.</w:t>
      </w:r>
      <w:r w:rsidR="006D30B1">
        <w:rPr>
          <w:rFonts w:ascii="Times New Roman" w:hAnsi="Times New Roman" w:cs="Times New Roman"/>
          <w:bCs/>
          <w:sz w:val="28"/>
          <w:szCs w:val="28"/>
        </w:rPr>
        <w:t xml:space="preserve">  For the State of Washington Flood Mitigation Assistance (FMA) Program Sub-Application and Grant.  </w:t>
      </w:r>
      <w:r w:rsidR="006626D2">
        <w:rPr>
          <w:rFonts w:ascii="Times New Roman" w:hAnsi="Times New Roman" w:cs="Times New Roman"/>
          <w:bCs/>
          <w:sz w:val="28"/>
          <w:szCs w:val="28"/>
        </w:rPr>
        <w:t>A resolution of the Board of Commissioners for PCFD 14 authorizing its agent</w:t>
      </w:r>
      <w:r w:rsidR="006D30B1">
        <w:rPr>
          <w:rFonts w:ascii="Times New Roman" w:hAnsi="Times New Roman" w:cs="Times New Roman"/>
          <w:bCs/>
          <w:sz w:val="28"/>
          <w:szCs w:val="28"/>
        </w:rPr>
        <w:t xml:space="preserve">, Kira </w:t>
      </w:r>
      <w:proofErr w:type="spellStart"/>
      <w:r w:rsidR="006D30B1">
        <w:rPr>
          <w:rFonts w:ascii="Times New Roman" w:hAnsi="Times New Roman" w:cs="Times New Roman"/>
          <w:bCs/>
          <w:sz w:val="28"/>
          <w:szCs w:val="28"/>
        </w:rPr>
        <w:t>Thirkield</w:t>
      </w:r>
      <w:proofErr w:type="spellEnd"/>
      <w:r w:rsidR="006D30B1">
        <w:rPr>
          <w:rFonts w:ascii="Times New Roman" w:hAnsi="Times New Roman" w:cs="Times New Roman"/>
          <w:bCs/>
          <w:sz w:val="28"/>
          <w:szCs w:val="28"/>
        </w:rPr>
        <w:t>, or alternate, Amy Devine,</w:t>
      </w:r>
      <w:r w:rsidR="006626D2">
        <w:rPr>
          <w:rFonts w:ascii="Times New Roman" w:hAnsi="Times New Roman" w:cs="Times New Roman"/>
          <w:bCs/>
          <w:sz w:val="28"/>
          <w:szCs w:val="28"/>
        </w:rPr>
        <w:t xml:space="preserve"> to provide to the Washington Military Department, Emergency Management Division assurances and agreements required for all matters concerning such non-disaster mitigation</w:t>
      </w:r>
      <w:r w:rsidR="00683131">
        <w:rPr>
          <w:rFonts w:ascii="Times New Roman" w:hAnsi="Times New Roman" w:cs="Times New Roman"/>
          <w:bCs/>
          <w:sz w:val="28"/>
          <w:szCs w:val="28"/>
        </w:rPr>
        <w:t>, a</w:t>
      </w:r>
      <w:r w:rsidR="006D30B1">
        <w:rPr>
          <w:rFonts w:ascii="Times New Roman" w:hAnsi="Times New Roman" w:cs="Times New Roman"/>
          <w:bCs/>
          <w:sz w:val="28"/>
          <w:szCs w:val="28"/>
        </w:rPr>
        <w:t>s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 further</w:t>
      </w:r>
      <w:r w:rsidR="006D30B1">
        <w:rPr>
          <w:rFonts w:ascii="Times New Roman" w:hAnsi="Times New Roman" w:cs="Times New Roman"/>
          <w:bCs/>
          <w:sz w:val="28"/>
          <w:szCs w:val="28"/>
        </w:rPr>
        <w:t xml:space="preserve"> stated in Resolution 2023-394.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  The resolution was reviewed and a motion made to approve which passed unanimously.</w:t>
      </w:r>
    </w:p>
    <w:p w14:paraId="376A90B1" w14:textId="77777777" w:rsidR="00D01DCB" w:rsidRDefault="00D01DCB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E050F0" w14:textId="77777777" w:rsidR="0068657D" w:rsidRDefault="0068657D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3F08F2" w14:textId="77777777" w:rsidR="0068657D" w:rsidRDefault="0068657D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862051" w14:textId="1846CE29" w:rsidR="002D76E2" w:rsidRDefault="00D01DCB" w:rsidP="0068657D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B:  Resolution 2023-39</w:t>
      </w:r>
      <w:r w:rsidR="002044FE">
        <w:rPr>
          <w:rFonts w:ascii="Times New Roman" w:hAnsi="Times New Roman" w:cs="Times New Roman"/>
          <w:bCs/>
          <w:sz w:val="28"/>
          <w:szCs w:val="28"/>
        </w:rPr>
        <w:t>5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 – Deferred Compensation.  A resolution requesting to participate in the Washington State Deferred Compensation Program</w:t>
      </w:r>
      <w:r w:rsidR="00614891">
        <w:rPr>
          <w:rFonts w:ascii="Times New Roman" w:hAnsi="Times New Roman" w:cs="Times New Roman"/>
          <w:bCs/>
          <w:sz w:val="28"/>
          <w:szCs w:val="28"/>
        </w:rPr>
        <w:t>, as allowed by, RCW 41.50.770,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 was presented to the Commissioners for </w:t>
      </w:r>
      <w:r w:rsidR="00614891">
        <w:rPr>
          <w:rFonts w:ascii="Times New Roman" w:hAnsi="Times New Roman" w:cs="Times New Roman"/>
          <w:bCs/>
          <w:sz w:val="28"/>
          <w:szCs w:val="28"/>
        </w:rPr>
        <w:t>review</w:t>
      </w:r>
      <w:r w:rsidR="00683131">
        <w:rPr>
          <w:rFonts w:ascii="Times New Roman" w:hAnsi="Times New Roman" w:cs="Times New Roman"/>
          <w:bCs/>
          <w:sz w:val="28"/>
          <w:szCs w:val="28"/>
        </w:rPr>
        <w:t>.</w:t>
      </w:r>
      <w:r w:rsidR="00614891">
        <w:rPr>
          <w:rFonts w:ascii="Times New Roman" w:hAnsi="Times New Roman" w:cs="Times New Roman"/>
          <w:bCs/>
          <w:sz w:val="28"/>
          <w:szCs w:val="28"/>
        </w:rPr>
        <w:t xml:space="preserve">  A motion was made to approve Resolution 2034-395 and passed unanimously.</w:t>
      </w:r>
    </w:p>
    <w:p w14:paraId="6B96CC26" w14:textId="77777777" w:rsidR="002D76E2" w:rsidRDefault="002D76E2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BFA389" w14:textId="77777777" w:rsidR="0068657D" w:rsidRPr="00080EF9" w:rsidRDefault="0068657D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37606F7F" w14:textId="6EDFDC87" w:rsidR="008E65D4" w:rsidRPr="00CD451E" w:rsidRDefault="00614891" w:rsidP="00F15D7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51E">
        <w:rPr>
          <w:rFonts w:ascii="Times New Roman" w:hAnsi="Times New Roman" w:cs="Times New Roman"/>
          <w:sz w:val="28"/>
          <w:szCs w:val="28"/>
        </w:rPr>
        <w:t xml:space="preserve">A letter of agreement with </w:t>
      </w:r>
      <w:proofErr w:type="spellStart"/>
      <w:r w:rsidRPr="00CD451E">
        <w:rPr>
          <w:rFonts w:ascii="Times New Roman" w:hAnsi="Times New Roman" w:cs="Times New Roman"/>
          <w:sz w:val="28"/>
          <w:szCs w:val="28"/>
        </w:rPr>
        <w:t>Md+m</w:t>
      </w:r>
      <w:proofErr w:type="spellEnd"/>
      <w:r w:rsidR="00CD451E" w:rsidRPr="00CD451E">
        <w:rPr>
          <w:rFonts w:ascii="Times New Roman" w:hAnsi="Times New Roman" w:cs="Times New Roman"/>
          <w:sz w:val="28"/>
          <w:szCs w:val="28"/>
        </w:rPr>
        <w:t xml:space="preserve"> </w:t>
      </w:r>
      <w:r w:rsidRPr="00CD451E">
        <w:rPr>
          <w:rFonts w:ascii="Times New Roman" w:hAnsi="Times New Roman" w:cs="Times New Roman"/>
          <w:sz w:val="28"/>
          <w:szCs w:val="28"/>
        </w:rPr>
        <w:t xml:space="preserve">was </w:t>
      </w:r>
      <w:r w:rsidR="00CD451E" w:rsidRPr="00CD451E">
        <w:rPr>
          <w:rFonts w:ascii="Times New Roman" w:hAnsi="Times New Roman" w:cs="Times New Roman"/>
          <w:sz w:val="28"/>
          <w:szCs w:val="28"/>
        </w:rPr>
        <w:t>distributed and discussed.</w:t>
      </w:r>
      <w:r w:rsidRPr="00CD451E">
        <w:rPr>
          <w:rFonts w:ascii="Times New Roman" w:hAnsi="Times New Roman" w:cs="Times New Roman"/>
          <w:sz w:val="28"/>
          <w:szCs w:val="28"/>
        </w:rPr>
        <w:t xml:space="preserve">  Bas</w:t>
      </w:r>
      <w:r w:rsidR="00CD451E">
        <w:rPr>
          <w:rFonts w:ascii="Times New Roman" w:hAnsi="Times New Roman" w:cs="Times New Roman"/>
          <w:sz w:val="28"/>
          <w:szCs w:val="28"/>
        </w:rPr>
        <w:t>ed</w:t>
      </w:r>
      <w:r w:rsidRPr="00CD451E">
        <w:rPr>
          <w:rFonts w:ascii="Times New Roman" w:hAnsi="Times New Roman" w:cs="Times New Roman"/>
          <w:sz w:val="28"/>
          <w:szCs w:val="28"/>
        </w:rPr>
        <w:t xml:space="preserve"> on </w:t>
      </w:r>
      <w:r w:rsidR="00CD451E">
        <w:rPr>
          <w:rFonts w:ascii="Times New Roman" w:hAnsi="Times New Roman" w:cs="Times New Roman"/>
          <w:sz w:val="28"/>
          <w:szCs w:val="28"/>
        </w:rPr>
        <w:t xml:space="preserve">the project description, </w:t>
      </w:r>
      <w:proofErr w:type="spellStart"/>
      <w:r w:rsidR="00CD451E">
        <w:rPr>
          <w:rFonts w:ascii="Times New Roman" w:hAnsi="Times New Roman" w:cs="Times New Roman"/>
          <w:sz w:val="28"/>
          <w:szCs w:val="28"/>
        </w:rPr>
        <w:t>Md+m</w:t>
      </w:r>
      <w:proofErr w:type="spellEnd"/>
      <w:r w:rsidR="00CD451E">
        <w:rPr>
          <w:rFonts w:ascii="Times New Roman" w:hAnsi="Times New Roman" w:cs="Times New Roman"/>
          <w:sz w:val="28"/>
          <w:szCs w:val="28"/>
        </w:rPr>
        <w:t xml:space="preserve"> will coordinate with various consultants and engineers to establish a general rough order of magnitude budget to complete the Stage 1 grant application mentioned in Resolution 2023-394.  Copy of letter attached. </w:t>
      </w:r>
    </w:p>
    <w:p w14:paraId="2C3A1B42" w14:textId="77777777" w:rsidR="006626D2" w:rsidRDefault="006626D2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FFC7F" w14:textId="77777777" w:rsidR="006626D2" w:rsidRPr="00080EF9" w:rsidRDefault="006626D2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39EAC501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6D30B1">
        <w:rPr>
          <w:rFonts w:ascii="Times New Roman" w:hAnsi="Times New Roman" w:cs="Times New Roman"/>
          <w:sz w:val="28"/>
          <w:szCs w:val="28"/>
        </w:rPr>
        <w:t>15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34C58" w14:textId="77777777" w:rsidR="0068657D" w:rsidRPr="00402FD3" w:rsidRDefault="0068657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p w14:paraId="74184515" w14:textId="77777777" w:rsidR="007D492F" w:rsidRPr="007D492F" w:rsidRDefault="007D492F" w:rsidP="007D492F">
      <w:pPr>
        <w:rPr>
          <w:rFonts w:ascii="Times New Roman" w:hAnsi="Times New Roman" w:cs="Times New Roman"/>
          <w:sz w:val="28"/>
          <w:szCs w:val="28"/>
        </w:rPr>
      </w:pPr>
    </w:p>
    <w:sectPr w:rsidR="007D492F" w:rsidRPr="007D492F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06EF" w14:textId="77777777" w:rsidR="003C2FA7" w:rsidRDefault="003C2FA7" w:rsidP="009455C2">
      <w:pPr>
        <w:spacing w:after="0" w:line="240" w:lineRule="auto"/>
      </w:pPr>
      <w:r>
        <w:separator/>
      </w:r>
    </w:p>
  </w:endnote>
  <w:endnote w:type="continuationSeparator" w:id="0">
    <w:p w14:paraId="0EAA2817" w14:textId="77777777" w:rsidR="003C2FA7" w:rsidRDefault="003C2FA7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2106D77D" w:rsidR="00CC65C1" w:rsidRDefault="00CC65C1" w:rsidP="009455C2">
    <w:pPr>
      <w:pStyle w:val="Footer"/>
      <w:ind w:right="360"/>
    </w:pPr>
    <w:r>
      <w:t xml:space="preserve">Commissioner Meeting </w:t>
    </w:r>
    <w:r w:rsidR="007D492F">
      <w:t>October 9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51F0" w14:textId="77777777" w:rsidR="003C2FA7" w:rsidRDefault="003C2FA7" w:rsidP="009455C2">
      <w:pPr>
        <w:spacing w:after="0" w:line="240" w:lineRule="auto"/>
      </w:pPr>
      <w:r>
        <w:separator/>
      </w:r>
    </w:p>
  </w:footnote>
  <w:footnote w:type="continuationSeparator" w:id="0">
    <w:p w14:paraId="2C365198" w14:textId="77777777" w:rsidR="003C2FA7" w:rsidRDefault="003C2FA7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A6F2C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5A1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6AC2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44FE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369B7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C7F19"/>
    <w:rsid w:val="002D30CF"/>
    <w:rsid w:val="002D4089"/>
    <w:rsid w:val="002D4EFA"/>
    <w:rsid w:val="002D6ECC"/>
    <w:rsid w:val="002D76E2"/>
    <w:rsid w:val="002E1913"/>
    <w:rsid w:val="002E28B2"/>
    <w:rsid w:val="002E5AB5"/>
    <w:rsid w:val="002F050A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1A3C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2FA7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95368"/>
    <w:rsid w:val="004A15E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0129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891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1D51"/>
    <w:rsid w:val="006626D2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131"/>
    <w:rsid w:val="00683F29"/>
    <w:rsid w:val="00683FA3"/>
    <w:rsid w:val="00686364"/>
    <w:rsid w:val="0068657D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30B1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492F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1055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5CA8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C4D77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44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451E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1DC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467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1D6C"/>
    <w:rsid w:val="00E0361C"/>
    <w:rsid w:val="00E05280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57CF"/>
    <w:rsid w:val="00E77938"/>
    <w:rsid w:val="00E80EA2"/>
    <w:rsid w:val="00E85234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2023-10-11T06:21:00Z</cp:lastPrinted>
  <dcterms:created xsi:type="dcterms:W3CDTF">2023-10-11T06:20:00Z</dcterms:created>
  <dcterms:modified xsi:type="dcterms:W3CDTF">2023-10-11T06:20:00Z</dcterms:modified>
</cp:coreProperties>
</file>